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6B1C1" w14:textId="2D15850A" w:rsidR="00DE355C" w:rsidRDefault="00DE355C" w:rsidP="00C65F39">
      <w:pPr>
        <w:spacing w:after="0" w:line="240" w:lineRule="auto"/>
        <w:jc w:val="center"/>
        <w:rPr>
          <w:rFonts w:ascii="Times New Roman" w:eastAsia="Times New Roman" w:hAnsi="Times New Roman" w:cs="Times New Roman"/>
          <w:b/>
          <w:bCs/>
          <w:color w:val="1D1C1D"/>
          <w:kern w:val="0"/>
          <w:sz w:val="28"/>
          <w:szCs w:val="28"/>
          <w14:ligatures w14:val="none"/>
        </w:rPr>
      </w:pPr>
      <w:r w:rsidRPr="00B864F1">
        <w:rPr>
          <w:rFonts w:ascii="Times New Roman" w:eastAsia="Times New Roman" w:hAnsi="Times New Roman" w:cs="Times New Roman"/>
          <w:b/>
          <w:bCs/>
          <w:color w:val="1D1C1D"/>
          <w:kern w:val="0"/>
          <w:sz w:val="28"/>
          <w:szCs w:val="28"/>
          <w14:ligatures w14:val="none"/>
        </w:rPr>
        <w:t>Physical</w:t>
      </w:r>
      <w:r>
        <w:rPr>
          <w:rFonts w:ascii="Times New Roman" w:eastAsia="Times New Roman" w:hAnsi="Times New Roman" w:cs="Times New Roman"/>
          <w:b/>
          <w:bCs/>
          <w:color w:val="1D1C1D"/>
          <w:kern w:val="0"/>
          <w:sz w:val="28"/>
          <w:szCs w:val="28"/>
          <w14:ligatures w14:val="none"/>
        </w:rPr>
        <w:t xml:space="preserve"> Exhibit</w:t>
      </w:r>
    </w:p>
    <w:p w14:paraId="6CA7E7F3" w14:textId="77777777" w:rsidR="002966C5" w:rsidRPr="002966C5" w:rsidRDefault="002966C5" w:rsidP="002966C5">
      <w:pPr>
        <w:spacing w:after="0" w:line="240" w:lineRule="auto"/>
        <w:rPr>
          <w:rFonts w:ascii="Times New Roman" w:eastAsia="Times New Roman" w:hAnsi="Times New Roman" w:cs="Times New Roman"/>
          <w:b/>
          <w:bCs/>
          <w:color w:val="1D1C1D"/>
          <w:kern w:val="0"/>
          <w14:ligatures w14:val="none"/>
        </w:rPr>
      </w:pPr>
    </w:p>
    <w:p w14:paraId="007A3C4F" w14:textId="6E6D3391" w:rsidR="002966C5" w:rsidRPr="002966C5" w:rsidRDefault="002966C5" w:rsidP="002966C5">
      <w:pPr>
        <w:spacing w:after="0" w:line="240" w:lineRule="auto"/>
        <w:rPr>
          <w:rFonts w:ascii="Times New Roman" w:eastAsia="Times New Roman" w:hAnsi="Times New Roman" w:cs="Times New Roman"/>
          <w:color w:val="1D1C1D"/>
          <w:kern w:val="0"/>
          <w14:ligatures w14:val="none"/>
        </w:rPr>
      </w:pPr>
      <w:r w:rsidRPr="002966C5">
        <w:rPr>
          <w:rFonts w:ascii="Times New Roman" w:eastAsia="Times New Roman" w:hAnsi="Times New Roman" w:cs="Times New Roman"/>
          <w:color w:val="1D1C1D"/>
          <w:kern w:val="0"/>
          <w14:ligatures w14:val="none"/>
        </w:rPr>
        <w:t>The argument about history embodied in the physical exhibit site is that Historically Black Colleges and Universities (HBCUs) have a rich, unique history. Although these institutions were born in the context of struggle, they value their heritage (as evident in the archival materials showcased), and preserving their archival history is crucial to cultural preservation. HBCUs have significantly shaped not only Black culture but also American culture, as these institutions serve as fertile ground for producing leaders, innovators, and change-makers.</w:t>
      </w:r>
    </w:p>
    <w:p w14:paraId="3DD7304E" w14:textId="77777777" w:rsidR="002966C5" w:rsidRPr="002966C5" w:rsidRDefault="002966C5" w:rsidP="002966C5">
      <w:pPr>
        <w:spacing w:after="0" w:line="240" w:lineRule="auto"/>
        <w:rPr>
          <w:rFonts w:ascii="Times New Roman" w:eastAsia="Times New Roman" w:hAnsi="Times New Roman" w:cs="Times New Roman"/>
          <w:b/>
          <w:bCs/>
          <w:color w:val="1D1C1D"/>
          <w:kern w:val="0"/>
          <w14:ligatures w14:val="none"/>
        </w:rPr>
      </w:pPr>
    </w:p>
    <w:p w14:paraId="0B69CE85" w14:textId="79024571" w:rsidR="002966C5" w:rsidRPr="002966C5" w:rsidRDefault="002966C5" w:rsidP="002966C5">
      <w:pPr>
        <w:spacing w:after="0" w:line="240" w:lineRule="auto"/>
        <w:rPr>
          <w:rFonts w:ascii="Times New Roman" w:eastAsia="Times New Roman" w:hAnsi="Times New Roman" w:cs="Times New Roman"/>
          <w:color w:val="1D1C1D"/>
          <w:kern w:val="0"/>
          <w14:ligatures w14:val="none"/>
        </w:rPr>
      </w:pPr>
      <w:r w:rsidRPr="002966C5">
        <w:rPr>
          <w:rFonts w:ascii="Times New Roman" w:eastAsia="Times New Roman" w:hAnsi="Times New Roman" w:cs="Times New Roman"/>
          <w:color w:val="1D1C1D"/>
          <w:kern w:val="0"/>
          <w14:ligatures w14:val="none"/>
        </w:rPr>
        <w:t xml:space="preserve">The primary audience for this exhibit includes individuals of the African diaspora, particularly HBCU alums and college-bound students. This exhibit provides an educational experience about the history and enduring legacy of these institutions, helping participants learn about or reconnect with the strength of their heritage. During my visit, I noticed that most visitors in the space were young school-age African American teens. This observation was notable because overall, most of the museum visitors that I observed that day were White. The brightly colored exhibit murals and the selection of Aretha Franklin’s “It’s a Different World,” the theme song for the popular Black sitcom of the 90s set at a fictitious HBCU, welcome </w:t>
      </w:r>
      <w:r w:rsidR="00FB06E2">
        <w:rPr>
          <w:rFonts w:ascii="Times New Roman" w:eastAsia="Times New Roman" w:hAnsi="Times New Roman" w:cs="Times New Roman"/>
          <w:color w:val="1D1C1D"/>
          <w:kern w:val="0"/>
          <w14:ligatures w14:val="none"/>
        </w:rPr>
        <w:t>visitors</w:t>
      </w:r>
      <w:r w:rsidRPr="002966C5">
        <w:rPr>
          <w:rFonts w:ascii="Times New Roman" w:eastAsia="Times New Roman" w:hAnsi="Times New Roman" w:cs="Times New Roman"/>
          <w:color w:val="1D1C1D"/>
          <w:kern w:val="0"/>
          <w14:ligatures w14:val="none"/>
        </w:rPr>
        <w:t xml:space="preserve"> at its entrance.</w:t>
      </w:r>
    </w:p>
    <w:p w14:paraId="75247697" w14:textId="77777777" w:rsidR="002966C5" w:rsidRPr="002966C5" w:rsidRDefault="002966C5" w:rsidP="002966C5">
      <w:pPr>
        <w:spacing w:after="0" w:line="240" w:lineRule="auto"/>
        <w:rPr>
          <w:rFonts w:ascii="Times New Roman" w:eastAsia="Times New Roman" w:hAnsi="Times New Roman" w:cs="Times New Roman"/>
          <w:b/>
          <w:bCs/>
          <w:color w:val="1D1C1D"/>
          <w:kern w:val="0"/>
          <w14:ligatures w14:val="none"/>
        </w:rPr>
      </w:pPr>
    </w:p>
    <w:p w14:paraId="2EF5DC03" w14:textId="3DA77C5F" w:rsidR="002966C5" w:rsidRPr="002966C5" w:rsidRDefault="002966C5" w:rsidP="002966C5">
      <w:pPr>
        <w:spacing w:after="0" w:line="240" w:lineRule="auto"/>
        <w:rPr>
          <w:rFonts w:ascii="Times New Roman" w:eastAsia="Times New Roman" w:hAnsi="Times New Roman" w:cs="Times New Roman"/>
          <w:b/>
          <w:bCs/>
          <w:color w:val="1D1C1D"/>
          <w:kern w:val="0"/>
          <w14:ligatures w14:val="none"/>
        </w:rPr>
      </w:pPr>
      <w:r w:rsidRPr="002966C5">
        <w:rPr>
          <w:rFonts w:ascii="Times New Roman" w:eastAsia="Times New Roman" w:hAnsi="Times New Roman" w:cs="Times New Roman"/>
          <w:color w:val="1D1C1D"/>
          <w:kern w:val="0"/>
          <w14:ligatures w14:val="none"/>
        </w:rPr>
        <w:t>The main items used to communicate the interpretation include artifacts from HBCUs, such as historic photographs, newspaper clippings, furniture and room furnishings, clothing, and artwork. In addition, other materials that help frame and provide context for these primary items include an exhibit map and video installations. These items provide important historical context for those unfamiliar with HBCU history and culture by highlighting their unique nature as educational, social, and cultural institutions.</w:t>
      </w:r>
      <w:r>
        <w:rPr>
          <w:rFonts w:ascii="Times New Roman" w:eastAsia="Times New Roman" w:hAnsi="Times New Roman" w:cs="Times New Roman"/>
          <w:color w:val="1D1C1D"/>
          <w:kern w:val="0"/>
          <w14:ligatures w14:val="none"/>
        </w:rPr>
        <w:t xml:space="preserve"> </w:t>
      </w:r>
      <w:r w:rsidRPr="002966C5">
        <w:rPr>
          <w:rFonts w:ascii="Times New Roman" w:eastAsia="Times New Roman" w:hAnsi="Times New Roman" w:cs="Times New Roman"/>
          <w:color w:val="1D1C1D"/>
          <w:kern w:val="0"/>
          <w14:ligatures w14:val="none"/>
        </w:rPr>
        <w:t>For instance, the exhibit includes four red bricks made by students at Tuskegee’s Normal School, used as tuition payments, as well as a bench created by students in vocational courses to showcase woodworking and welding skills. Additionally, I also noted that several photographs on display were created by photographers who worked or trained at HBCUs. These artists were from the culture and able to capture intimate moments through an insider’s perspective, such as Chester Higgins’ Ancestral Memorial, Coney Island, 1995, further showing how HBCUs protect and celebrate the Black Arts and the Black experience.</w:t>
      </w:r>
    </w:p>
    <w:p w14:paraId="29062753" w14:textId="77777777" w:rsidR="002966C5" w:rsidRPr="002966C5" w:rsidRDefault="002966C5" w:rsidP="002966C5">
      <w:pPr>
        <w:spacing w:after="0" w:line="240" w:lineRule="auto"/>
        <w:rPr>
          <w:rFonts w:ascii="Times New Roman" w:eastAsia="Times New Roman" w:hAnsi="Times New Roman" w:cs="Times New Roman"/>
          <w:b/>
          <w:bCs/>
          <w:color w:val="1D1C1D"/>
          <w:kern w:val="0"/>
          <w14:ligatures w14:val="none"/>
        </w:rPr>
      </w:pPr>
    </w:p>
    <w:p w14:paraId="0CE2A89A" w14:textId="77777777" w:rsidR="002966C5" w:rsidRPr="002966C5" w:rsidRDefault="002966C5" w:rsidP="002966C5">
      <w:pPr>
        <w:spacing w:after="0" w:line="240" w:lineRule="auto"/>
        <w:rPr>
          <w:rFonts w:ascii="Times New Roman" w:eastAsia="Times New Roman" w:hAnsi="Times New Roman" w:cs="Times New Roman"/>
          <w:color w:val="1D1C1D"/>
          <w:kern w:val="0"/>
          <w14:ligatures w14:val="none"/>
        </w:rPr>
      </w:pPr>
      <w:r w:rsidRPr="002966C5">
        <w:rPr>
          <w:rFonts w:ascii="Times New Roman" w:eastAsia="Times New Roman" w:hAnsi="Times New Roman" w:cs="Times New Roman"/>
          <w:color w:val="1D1C1D"/>
          <w:kern w:val="0"/>
          <w14:ligatures w14:val="none"/>
        </w:rPr>
        <w:t>The exhibit occupies a rectangular-shaped space and is easy to navigate. The entrance and exit points are wide and clear, and the pathways throughout the exhibit are clear to navigate. The exhibit comprises several distinct spaces that promote a natural flow through a thematic and chronological timeline of HBCUs, including their founding and their academic, activist, and artistic traditions. The exhibit encourages a single flow of traffic through the positioning of its display cases and the density of information and objects displayed. I had ample time to engage with the objects or read the information displayed before moving to the next exhibit space.</w:t>
      </w:r>
    </w:p>
    <w:p w14:paraId="7B499343" w14:textId="77777777" w:rsidR="002966C5" w:rsidRPr="002966C5" w:rsidRDefault="002966C5" w:rsidP="002966C5">
      <w:pPr>
        <w:spacing w:after="0" w:line="240" w:lineRule="auto"/>
        <w:rPr>
          <w:rFonts w:ascii="Times New Roman" w:eastAsia="Times New Roman" w:hAnsi="Times New Roman" w:cs="Times New Roman"/>
          <w:b/>
          <w:bCs/>
          <w:color w:val="1D1C1D"/>
          <w:kern w:val="0"/>
          <w14:ligatures w14:val="none"/>
        </w:rPr>
      </w:pPr>
    </w:p>
    <w:p w14:paraId="50A36DDF" w14:textId="0A85DF3F" w:rsidR="002966C5" w:rsidRPr="002966C5" w:rsidRDefault="002966C5" w:rsidP="002966C5">
      <w:pPr>
        <w:spacing w:after="0" w:line="240" w:lineRule="auto"/>
        <w:rPr>
          <w:rFonts w:ascii="Times New Roman" w:eastAsia="Times New Roman" w:hAnsi="Times New Roman" w:cs="Times New Roman"/>
          <w:color w:val="1D1C1D"/>
          <w:kern w:val="0"/>
          <w14:ligatures w14:val="none"/>
        </w:rPr>
      </w:pPr>
      <w:r w:rsidRPr="002966C5">
        <w:rPr>
          <w:rFonts w:ascii="Times New Roman" w:eastAsia="Times New Roman" w:hAnsi="Times New Roman" w:cs="Times New Roman"/>
          <w:color w:val="1D1C1D"/>
          <w:kern w:val="0"/>
          <w14:ligatures w14:val="none"/>
        </w:rPr>
        <w:t xml:space="preserve">This exhibit features several interactive elements to enhance visitor engagement. One installation, </w:t>
      </w:r>
      <w:r>
        <w:rPr>
          <w:rFonts w:ascii="Times New Roman" w:eastAsia="Times New Roman" w:hAnsi="Times New Roman" w:cs="Times New Roman"/>
          <w:color w:val="1D1C1D"/>
          <w:kern w:val="0"/>
          <w14:ligatures w14:val="none"/>
        </w:rPr>
        <w:t>“T</w:t>
      </w:r>
      <w:r w:rsidRPr="002966C5">
        <w:rPr>
          <w:rFonts w:ascii="Times New Roman" w:eastAsia="Times New Roman" w:hAnsi="Times New Roman" w:cs="Times New Roman"/>
          <w:color w:val="1D1C1D"/>
          <w:kern w:val="0"/>
          <w14:ligatures w14:val="none"/>
        </w:rPr>
        <w:t xml:space="preserve">he Negro </w:t>
      </w:r>
      <w:proofErr w:type="gramStart"/>
      <w:r w:rsidRPr="002966C5">
        <w:rPr>
          <w:rFonts w:ascii="Times New Roman" w:eastAsia="Times New Roman" w:hAnsi="Times New Roman" w:cs="Times New Roman"/>
          <w:color w:val="1D1C1D"/>
          <w:kern w:val="0"/>
          <w14:ligatures w14:val="none"/>
        </w:rPr>
        <w:t>Year Book</w:t>
      </w:r>
      <w:proofErr w:type="gramEnd"/>
      <w:r w:rsidRPr="002966C5">
        <w:rPr>
          <w:rFonts w:ascii="Times New Roman" w:eastAsia="Times New Roman" w:hAnsi="Times New Roman" w:cs="Times New Roman"/>
          <w:color w:val="1D1C1D"/>
          <w:kern w:val="0"/>
          <w14:ligatures w14:val="none"/>
        </w:rPr>
        <w:t>: An Encyclopedia of the Negro</w:t>
      </w:r>
      <w:r>
        <w:rPr>
          <w:rFonts w:ascii="Times New Roman" w:eastAsia="Times New Roman" w:hAnsi="Times New Roman" w:cs="Times New Roman"/>
          <w:color w:val="1D1C1D"/>
          <w:kern w:val="0"/>
          <w14:ligatures w14:val="none"/>
        </w:rPr>
        <w:t>”</w:t>
      </w:r>
      <w:r w:rsidRPr="002966C5">
        <w:rPr>
          <w:rFonts w:ascii="Times New Roman" w:eastAsia="Times New Roman" w:hAnsi="Times New Roman" w:cs="Times New Roman"/>
          <w:color w:val="1D1C1D"/>
          <w:kern w:val="0"/>
          <w14:ligatures w14:val="none"/>
        </w:rPr>
        <w:t xml:space="preserve">, is based on a thirty-year collaboration between Monroe Work, as Director of the Tuskegee Institute Department of Records and Research, and HBCU archivists and researchers. Their efforts in collecting data on Black health, economic progress, and lynchings provide data points for animated maps on a digital touch screen that display the economic progress, trends in lynchings, mortality rates, and </w:t>
      </w:r>
      <w:r w:rsidRPr="002966C5">
        <w:rPr>
          <w:rFonts w:ascii="Times New Roman" w:eastAsia="Times New Roman" w:hAnsi="Times New Roman" w:cs="Times New Roman"/>
          <w:color w:val="1D1C1D"/>
          <w:kern w:val="0"/>
          <w14:ligatures w14:val="none"/>
        </w:rPr>
        <w:lastRenderedPageBreak/>
        <w:t>migration patterns of African Americans moving from the South to Northern states from 1900 to 1920. This digital touch element is particularly effective because it allows visitors to select and explore the information they are interested in.</w:t>
      </w:r>
    </w:p>
    <w:p w14:paraId="28BAD982" w14:textId="77777777" w:rsidR="002966C5" w:rsidRPr="002966C5" w:rsidRDefault="002966C5" w:rsidP="002966C5">
      <w:pPr>
        <w:spacing w:after="0" w:line="240" w:lineRule="auto"/>
        <w:rPr>
          <w:rFonts w:ascii="Times New Roman" w:eastAsia="Times New Roman" w:hAnsi="Times New Roman" w:cs="Times New Roman"/>
          <w:color w:val="1D1C1D"/>
          <w:kern w:val="0"/>
          <w14:ligatures w14:val="none"/>
        </w:rPr>
      </w:pPr>
    </w:p>
    <w:p w14:paraId="27F55846" w14:textId="0D8AECEF" w:rsidR="002966C5" w:rsidRDefault="00FB06E2" w:rsidP="002966C5">
      <w:pPr>
        <w:spacing w:after="0" w:line="240" w:lineRule="auto"/>
        <w:rPr>
          <w:rFonts w:ascii="Times New Roman" w:eastAsia="Times New Roman" w:hAnsi="Times New Roman" w:cs="Times New Roman"/>
          <w:color w:val="1D1C1D"/>
          <w:kern w:val="0"/>
          <w14:ligatures w14:val="none"/>
        </w:rPr>
      </w:pPr>
      <w:r w:rsidRPr="00FB06E2">
        <w:rPr>
          <w:rFonts w:ascii="Times New Roman" w:eastAsia="Times New Roman" w:hAnsi="Times New Roman" w:cs="Times New Roman"/>
          <w:color w:val="1D1C1D"/>
          <w:kern w:val="0"/>
          <w14:ligatures w14:val="none"/>
        </w:rPr>
        <w:t>Additionally, I identified several beige-colored plastic handheld cylinders in a basket within the exhibit space. Each cylinder contains questions that encourage visitors to reflect on and engage with the exhibit items, highlighting the exhibit themes of HBCU academics, activism, and artistic traditions. Towards the end of the exhibit, I identified a mural featuring three questions printed on large pieces of paper: whether the stories of activism at HBCUs inspired them and, if so, how; how HBCUs improve communities; and whether and how HBCU traditions have shaped them. The questions on the board were more effective than the cylinders because they are easier to see than to engage with.</w:t>
      </w:r>
    </w:p>
    <w:p w14:paraId="752F80AF" w14:textId="77777777" w:rsidR="00FB06E2" w:rsidRPr="002966C5" w:rsidRDefault="00FB06E2" w:rsidP="002966C5">
      <w:pPr>
        <w:spacing w:after="0" w:line="240" w:lineRule="auto"/>
        <w:rPr>
          <w:rFonts w:ascii="Times New Roman" w:eastAsia="Times New Roman" w:hAnsi="Times New Roman" w:cs="Times New Roman"/>
          <w:b/>
          <w:bCs/>
          <w:color w:val="1D1C1D"/>
          <w:kern w:val="0"/>
          <w14:ligatures w14:val="none"/>
        </w:rPr>
      </w:pPr>
    </w:p>
    <w:p w14:paraId="0A484754" w14:textId="77777777" w:rsidR="002966C5" w:rsidRPr="002966C5" w:rsidRDefault="002966C5" w:rsidP="002966C5">
      <w:pPr>
        <w:spacing w:after="0" w:line="240" w:lineRule="auto"/>
        <w:rPr>
          <w:rFonts w:ascii="Times New Roman" w:eastAsia="Times New Roman" w:hAnsi="Times New Roman" w:cs="Times New Roman"/>
          <w:color w:val="1D1C1D"/>
          <w:kern w:val="0"/>
          <w14:ligatures w14:val="none"/>
        </w:rPr>
      </w:pPr>
      <w:r w:rsidRPr="002966C5">
        <w:rPr>
          <w:rFonts w:ascii="Times New Roman" w:eastAsia="Times New Roman" w:hAnsi="Times New Roman" w:cs="Times New Roman"/>
          <w:color w:val="1D1C1D"/>
          <w:kern w:val="0"/>
          <w14:ligatures w14:val="none"/>
        </w:rPr>
        <w:t>During my visit, I did not encounter curators, interpreters, or docents in the exhibit space. I noticed two security guards in uniform, one at each entrance of the exhibit. These guards did not interact with my aunt or me about the exhibit. After we finished viewing the Vanguard exhibit, however, they kindly directed us to other parts of the museum that my aunt was interested in exploring, since this was a first visit to the NMAAHC.</w:t>
      </w:r>
    </w:p>
    <w:p w14:paraId="3BCA7A75" w14:textId="77777777" w:rsidR="002966C5" w:rsidRPr="002966C5" w:rsidRDefault="002966C5" w:rsidP="002966C5">
      <w:pPr>
        <w:spacing w:after="0" w:line="240" w:lineRule="auto"/>
        <w:rPr>
          <w:rFonts w:ascii="Times New Roman" w:eastAsia="Times New Roman" w:hAnsi="Times New Roman" w:cs="Times New Roman"/>
          <w:color w:val="1D1C1D"/>
          <w:kern w:val="0"/>
          <w14:ligatures w14:val="none"/>
        </w:rPr>
      </w:pPr>
    </w:p>
    <w:p w14:paraId="61C89BEA" w14:textId="77777777" w:rsidR="002966C5" w:rsidRPr="002966C5" w:rsidRDefault="002966C5" w:rsidP="002966C5">
      <w:pPr>
        <w:spacing w:after="0" w:line="240" w:lineRule="auto"/>
        <w:rPr>
          <w:rFonts w:ascii="Times New Roman" w:eastAsia="Times New Roman" w:hAnsi="Times New Roman" w:cs="Times New Roman"/>
          <w:color w:val="1D1C1D"/>
          <w:kern w:val="0"/>
          <w14:ligatures w14:val="none"/>
        </w:rPr>
      </w:pPr>
      <w:r w:rsidRPr="002966C5">
        <w:rPr>
          <w:rFonts w:ascii="Times New Roman" w:eastAsia="Times New Roman" w:hAnsi="Times New Roman" w:cs="Times New Roman"/>
          <w:color w:val="1D1C1D"/>
          <w:kern w:val="0"/>
          <w14:ligatures w14:val="none"/>
        </w:rPr>
        <w:t xml:space="preserve">This exhibit could be even more effective in a slightly larger space. At one point, while I was viewing a painting, I was jostled when two groups of school-aged teens entered the space, but they chose to move against the designed traffic flow. As a result, I ended up bumping into students from these groups as they navigated through the space. </w:t>
      </w:r>
    </w:p>
    <w:p w14:paraId="68124FCC" w14:textId="77777777" w:rsidR="002966C5" w:rsidRPr="002966C5" w:rsidRDefault="002966C5" w:rsidP="002966C5">
      <w:pPr>
        <w:spacing w:after="0" w:line="240" w:lineRule="auto"/>
        <w:rPr>
          <w:rFonts w:ascii="Times New Roman" w:eastAsia="Times New Roman" w:hAnsi="Times New Roman" w:cs="Times New Roman"/>
          <w:color w:val="1D1C1D"/>
          <w:kern w:val="0"/>
          <w14:ligatures w14:val="none"/>
        </w:rPr>
      </w:pPr>
    </w:p>
    <w:p w14:paraId="218C459D" w14:textId="77777777" w:rsidR="002966C5" w:rsidRPr="002966C5" w:rsidRDefault="002966C5" w:rsidP="002966C5">
      <w:pPr>
        <w:spacing w:after="0" w:line="240" w:lineRule="auto"/>
        <w:rPr>
          <w:rFonts w:ascii="Times New Roman" w:eastAsia="Times New Roman" w:hAnsi="Times New Roman" w:cs="Times New Roman"/>
          <w:color w:val="1D1C1D"/>
          <w:kern w:val="0"/>
          <w14:ligatures w14:val="none"/>
        </w:rPr>
      </w:pPr>
      <w:r w:rsidRPr="002966C5">
        <w:rPr>
          <w:rFonts w:ascii="Times New Roman" w:eastAsia="Times New Roman" w:hAnsi="Times New Roman" w:cs="Times New Roman"/>
          <w:color w:val="1D1C1D"/>
          <w:kern w:val="0"/>
          <w14:ligatures w14:val="none"/>
        </w:rPr>
        <w:t>Additionally, having extra places to sit and reflect on the artwork and assemblages throughout the exhibit would be great, especially for older visitors like my aunt. I noticed a large bench and several tables in the final section of the exhibit, which focuses on HBCUs today. These seating options were great for watching a large monitor display of testimonials from current HBCU students and alumni about the transformative nature of their experiences. However, adding at least one more seating option in the exhibit would further enhance a visitor’s experience. I hope the organizers consider the space and seating issue as the exhibit tours other HBCU campuses.</w:t>
      </w:r>
    </w:p>
    <w:p w14:paraId="1D575F38" w14:textId="77777777" w:rsidR="002966C5" w:rsidRPr="002966C5" w:rsidRDefault="002966C5" w:rsidP="002966C5">
      <w:pPr>
        <w:spacing w:after="0" w:line="240" w:lineRule="auto"/>
        <w:rPr>
          <w:rFonts w:ascii="Times New Roman" w:eastAsia="Times New Roman" w:hAnsi="Times New Roman" w:cs="Times New Roman"/>
          <w:color w:val="1D1C1D"/>
          <w:kern w:val="0"/>
          <w14:ligatures w14:val="none"/>
        </w:rPr>
      </w:pPr>
    </w:p>
    <w:p w14:paraId="3BECB040" w14:textId="77777777" w:rsidR="002966C5" w:rsidRPr="002966C5" w:rsidRDefault="002966C5" w:rsidP="002966C5">
      <w:pPr>
        <w:spacing w:after="0" w:line="240" w:lineRule="auto"/>
        <w:rPr>
          <w:rFonts w:ascii="Times New Roman" w:eastAsia="Times New Roman" w:hAnsi="Times New Roman" w:cs="Times New Roman"/>
          <w:color w:val="1D1C1D"/>
          <w:kern w:val="0"/>
          <w14:ligatures w14:val="none"/>
        </w:rPr>
      </w:pPr>
    </w:p>
    <w:p w14:paraId="142BE9E6" w14:textId="023256FA" w:rsidR="00086958" w:rsidRPr="002966C5" w:rsidRDefault="002966C5" w:rsidP="002966C5">
      <w:pPr>
        <w:spacing w:after="0" w:line="240" w:lineRule="auto"/>
        <w:rPr>
          <w:rFonts w:ascii="Times New Roman" w:eastAsia="Times New Roman" w:hAnsi="Times New Roman" w:cs="Times New Roman"/>
          <w:color w:val="1D1C1D"/>
          <w:kern w:val="0"/>
          <w14:ligatures w14:val="none"/>
        </w:rPr>
      </w:pPr>
      <w:r w:rsidRPr="002966C5">
        <w:rPr>
          <w:rFonts w:ascii="Times New Roman" w:eastAsia="Times New Roman" w:hAnsi="Times New Roman" w:cs="Times New Roman"/>
          <w:color w:val="1D1C1D"/>
          <w:kern w:val="0"/>
          <w14:ligatures w14:val="none"/>
        </w:rPr>
        <w:t>The National Museum of African American History and Culture, the Smithsonian Traveling Exhibition Service, the HBCU History and Culture Access Consortium, the National Endowment for the Humanities, the Institute of Museum and Library Services, Dr. Beryl Carter Rice, CBRE, Google Arts and Culture, and Johnson and Johnson are the sponsors of this exhibit.</w:t>
      </w:r>
    </w:p>
    <w:p w14:paraId="537A46AC" w14:textId="77777777" w:rsidR="007E26DC" w:rsidRDefault="007E26DC"/>
    <w:p w14:paraId="4926812F" w14:textId="77777777" w:rsidR="00325AE0" w:rsidRDefault="00325AE0" w:rsidP="00C65F39">
      <w:pPr>
        <w:pStyle w:val="NormalWeb"/>
        <w:spacing w:before="0" w:beforeAutospacing="0" w:after="0" w:afterAutospacing="0"/>
        <w:jc w:val="center"/>
        <w:rPr>
          <w:color w:val="0E101A"/>
        </w:rPr>
      </w:pPr>
      <w:r>
        <w:rPr>
          <w:rStyle w:val="Strong"/>
          <w:rFonts w:eastAsiaTheme="majorEastAsia"/>
          <w:color w:val="0E101A"/>
        </w:rPr>
        <w:t>Digital Exhibit</w:t>
      </w:r>
    </w:p>
    <w:p w14:paraId="0E990772" w14:textId="77777777" w:rsidR="00325AE0" w:rsidRDefault="00325AE0" w:rsidP="00325AE0">
      <w:pPr>
        <w:pStyle w:val="NormalWeb"/>
        <w:spacing w:before="0" w:beforeAutospacing="0" w:after="0" w:afterAutospacing="0"/>
        <w:rPr>
          <w:rStyle w:val="Strong"/>
          <w:rFonts w:eastAsiaTheme="majorEastAsia"/>
          <w:color w:val="0E101A"/>
        </w:rPr>
      </w:pPr>
    </w:p>
    <w:p w14:paraId="7ED155A9" w14:textId="77777777" w:rsidR="00325AE0" w:rsidRDefault="00325AE0" w:rsidP="00325AE0">
      <w:pPr>
        <w:pStyle w:val="NormalWeb"/>
        <w:spacing w:before="0" w:beforeAutospacing="0" w:after="0" w:afterAutospacing="0"/>
        <w:rPr>
          <w:color w:val="0E101A"/>
        </w:rPr>
      </w:pPr>
      <w:r>
        <w:rPr>
          <w:color w:val="0E101A"/>
        </w:rPr>
        <w:t xml:space="preserve">The central argument embodied in the digital representation is that HBCU museums, libraries, and archives play a vital role in preserving, documenting, and celebrating African American cultural heritage and the stories of resilience among African Americans. The design, layout, and content of the digital site effectively communicate this argument by exploring the themes of HBCUs sustaining the arts, preserving black scholarship, and preserving activism. These themes are intentionally and clearly communicated through the site design. The interpretive perspective </w:t>
      </w:r>
      <w:r>
        <w:rPr>
          <w:color w:val="0E101A"/>
        </w:rPr>
        <w:lastRenderedPageBreak/>
        <w:t>emphasizes how HBCUs serve as memory keepers of these rare and significant collections. This argument is not as clearly stated at the physical exhibit, which requires visitors to interpret this conclusion based on the exhibit materials.</w:t>
      </w:r>
    </w:p>
    <w:p w14:paraId="45DC1FA1" w14:textId="77777777" w:rsidR="00325AE0" w:rsidRDefault="00325AE0" w:rsidP="00325AE0">
      <w:pPr>
        <w:pStyle w:val="NormalWeb"/>
        <w:spacing w:before="0" w:beforeAutospacing="0" w:after="0" w:afterAutospacing="0"/>
        <w:rPr>
          <w:color w:val="0E101A"/>
        </w:rPr>
      </w:pPr>
    </w:p>
    <w:p w14:paraId="32EE92C7" w14:textId="38E70A4D" w:rsidR="00325AE0" w:rsidRDefault="00325AE0" w:rsidP="00325AE0">
      <w:pPr>
        <w:pStyle w:val="NormalWeb"/>
        <w:spacing w:before="0" w:beforeAutospacing="0" w:after="0" w:afterAutospacing="0"/>
        <w:rPr>
          <w:color w:val="0E101A"/>
        </w:rPr>
      </w:pPr>
      <w:r>
        <w:rPr>
          <w:color w:val="0E101A"/>
        </w:rPr>
        <w:t xml:space="preserve">The primary audience for this work includes those interested in African American history, HBCUs, and researchers and scholars of American and African American history. High school and college students are also primary audiences for this digital exhibit, given </w:t>
      </w:r>
      <w:r w:rsidR="00B14B23">
        <w:rPr>
          <w:color w:val="0E101A"/>
        </w:rPr>
        <w:t xml:space="preserve">that </w:t>
      </w:r>
      <w:r>
        <w:rPr>
          <w:color w:val="0E101A"/>
        </w:rPr>
        <w:t>the types of materials presented, the language style, reading level, and, in some cases, warning messages about disturbing content, would appeal to students and educators. The clear layout, including easy access to the exhibit’s themes, provides users with a clear way to approach the digital site and allows them to explore the themes based on their level of interest in the topics. One assumption about the audience using the digital exhibit is their access to and skills with digital technology.</w:t>
      </w:r>
    </w:p>
    <w:p w14:paraId="6FC94ECD" w14:textId="77777777" w:rsidR="00325AE0" w:rsidRDefault="00325AE0" w:rsidP="00325AE0">
      <w:pPr>
        <w:pStyle w:val="NormalWeb"/>
        <w:spacing w:before="0" w:beforeAutospacing="0" w:after="0" w:afterAutospacing="0"/>
        <w:rPr>
          <w:color w:val="0E101A"/>
        </w:rPr>
      </w:pPr>
    </w:p>
    <w:p w14:paraId="58DF4E6F" w14:textId="287FF9F0" w:rsidR="00325AE0" w:rsidRDefault="00325AE0" w:rsidP="00325AE0">
      <w:pPr>
        <w:pStyle w:val="NormalWeb"/>
        <w:spacing w:before="0" w:beforeAutospacing="0" w:after="0" w:afterAutospacing="0"/>
        <w:rPr>
          <w:rStyle w:val="apple-converted-space"/>
          <w:rFonts w:eastAsiaTheme="majorEastAsia"/>
          <w:color w:val="0E101A"/>
        </w:rPr>
      </w:pPr>
      <w:r>
        <w:rPr>
          <w:color w:val="0E101A"/>
        </w:rPr>
        <w:t xml:space="preserve">The </w:t>
      </w:r>
      <w:r w:rsidR="00B21845">
        <w:rPr>
          <w:color w:val="0E101A"/>
        </w:rPr>
        <w:t>web</w:t>
      </w:r>
      <w:r>
        <w:rPr>
          <w:color w:val="0E101A"/>
        </w:rPr>
        <w:t>site design uses Omeka S and provides visitors with an easy-to-navigate layout. On the landing page, users can select from one of the three exhibit themes to explore. Each exhibit includes an overview of its theme, additional information in chapters, featured exhibit constellation materials, and options to toggle between exhibits and return to the landing page by scrolling to the bottom of the site.</w:t>
      </w:r>
      <w:r>
        <w:rPr>
          <w:rStyle w:val="apple-converted-space"/>
          <w:rFonts w:eastAsiaTheme="majorEastAsia"/>
          <w:color w:val="0E101A"/>
        </w:rPr>
        <w:t> </w:t>
      </w:r>
    </w:p>
    <w:p w14:paraId="0A9E4FD0" w14:textId="77777777" w:rsidR="00325AE0" w:rsidRDefault="00325AE0" w:rsidP="00325AE0">
      <w:pPr>
        <w:pStyle w:val="NormalWeb"/>
        <w:spacing w:before="0" w:beforeAutospacing="0" w:after="0" w:afterAutospacing="0"/>
        <w:rPr>
          <w:color w:val="0E101A"/>
        </w:rPr>
      </w:pPr>
    </w:p>
    <w:p w14:paraId="09D0CE0C" w14:textId="77777777" w:rsidR="00325AE0" w:rsidRDefault="00325AE0" w:rsidP="00325AE0">
      <w:pPr>
        <w:pStyle w:val="NormalWeb"/>
        <w:spacing w:before="0" w:beforeAutospacing="0" w:after="0" w:afterAutospacing="0"/>
        <w:rPr>
          <w:color w:val="0E101A"/>
        </w:rPr>
      </w:pPr>
      <w:r>
        <w:rPr>
          <w:color w:val="0E101A"/>
        </w:rPr>
        <w:t>As this is a digital exhibit, a single linear flow of traffic is not necessarily the primary goal. Instead, the site’s generous interface encourages visitors to explore, access resources, and engage thoughtfully with the extensive linked content. Consistent headers and directional links at the bottom of the site help visitors maintain their sense of orientation.</w:t>
      </w:r>
    </w:p>
    <w:p w14:paraId="22BA9233" w14:textId="77777777" w:rsidR="00325AE0" w:rsidRDefault="00325AE0" w:rsidP="00325AE0">
      <w:pPr>
        <w:pStyle w:val="NormalWeb"/>
        <w:spacing w:before="0" w:beforeAutospacing="0" w:after="0" w:afterAutospacing="0"/>
        <w:rPr>
          <w:color w:val="0E101A"/>
        </w:rPr>
      </w:pPr>
    </w:p>
    <w:p w14:paraId="2427D1DE" w14:textId="4CBC8D1E" w:rsidR="00325AE0" w:rsidRDefault="00325AE0" w:rsidP="00325AE0">
      <w:pPr>
        <w:pStyle w:val="NormalWeb"/>
        <w:spacing w:before="0" w:beforeAutospacing="0" w:after="0" w:afterAutospacing="0"/>
        <w:rPr>
          <w:color w:val="0E101A"/>
        </w:rPr>
      </w:pPr>
      <w:r>
        <w:rPr>
          <w:color w:val="0E101A"/>
        </w:rPr>
        <w:t xml:space="preserve">While some of the content from the physical exhibit appears on the digital site, the way the information is presented allows visitors to engage with the </w:t>
      </w:r>
      <w:r w:rsidR="00B63397">
        <w:rPr>
          <w:color w:val="0E101A"/>
        </w:rPr>
        <w:t xml:space="preserve">item </w:t>
      </w:r>
      <w:r>
        <w:rPr>
          <w:color w:val="0E101A"/>
        </w:rPr>
        <w:t xml:space="preserve">in more than just two dimensions and from a distance. </w:t>
      </w:r>
      <w:r w:rsidR="00B63397">
        <w:rPr>
          <w:color w:val="0E101A"/>
        </w:rPr>
        <w:t xml:space="preserve">For instance, </w:t>
      </w:r>
      <w:r>
        <w:rPr>
          <w:color w:val="0E101A"/>
        </w:rPr>
        <w:t>visitors can read Phillis Wheatley Peters’ 1779 poem “Ocean,” and, with text-enlargement options, her handwriting becomes clearer and easier to examine up close. The digital site also features several other works by Peters, allowing visitors to compare themes across this author’s writings. This level of access to additional, supporting artifacts for comparison is not possible at the physical exhibit.</w:t>
      </w:r>
      <w:r>
        <w:rPr>
          <w:rStyle w:val="apple-converted-space"/>
          <w:rFonts w:eastAsiaTheme="majorEastAsia"/>
          <w:color w:val="0E101A"/>
        </w:rPr>
        <w:t> </w:t>
      </w:r>
    </w:p>
    <w:p w14:paraId="670C1066" w14:textId="77777777" w:rsidR="002966C5" w:rsidRDefault="002966C5" w:rsidP="00325AE0">
      <w:pPr>
        <w:pStyle w:val="NormalWeb"/>
        <w:spacing w:before="0" w:beforeAutospacing="0" w:after="0" w:afterAutospacing="0"/>
        <w:rPr>
          <w:color w:val="0E101A"/>
        </w:rPr>
      </w:pPr>
    </w:p>
    <w:p w14:paraId="66CD51C6" w14:textId="13380141" w:rsidR="00325AE0" w:rsidRDefault="00325AE0" w:rsidP="00325AE0">
      <w:pPr>
        <w:pStyle w:val="NormalWeb"/>
        <w:spacing w:before="0" w:beforeAutospacing="0" w:after="0" w:afterAutospacing="0"/>
        <w:rPr>
          <w:color w:val="0E101A"/>
        </w:rPr>
      </w:pPr>
      <w:r>
        <w:rPr>
          <w:color w:val="0E101A"/>
        </w:rPr>
        <w:t>While exploring the work of Tuskegee professors Monroe and Florence Work, I learned more about their collaboration with W.E.B. Du Bois and the Niagara Movement. I could also listen to a 1961 interview with Du Bois and hear his voice as he discussed his research. This site features early documents from this period of his work, including photos from the Niagara Movement and images of its founding members.</w:t>
      </w:r>
    </w:p>
    <w:p w14:paraId="06438780" w14:textId="16BE562F" w:rsidR="002966C5" w:rsidRPr="002966C5" w:rsidRDefault="002966C5" w:rsidP="002966C5">
      <w:pPr>
        <w:pStyle w:val="NormalWeb"/>
        <w:spacing w:after="0"/>
        <w:rPr>
          <w:color w:val="0E101A"/>
        </w:rPr>
      </w:pPr>
      <w:r w:rsidRPr="002966C5">
        <w:rPr>
          <w:color w:val="0E101A"/>
        </w:rPr>
        <w:t>One interactive feature allows visitors to view and zoom into digitized archival documents, such as Du Bois’s hand-drawn infographic designs. This capability enables users to analyze site content more closely than they could while viewing the items in person at the physical exhibit.</w:t>
      </w:r>
      <w:r>
        <w:rPr>
          <w:color w:val="0E101A"/>
        </w:rPr>
        <w:t xml:space="preserve"> </w:t>
      </w:r>
      <w:r w:rsidRPr="002966C5">
        <w:rPr>
          <w:color w:val="0E101A"/>
        </w:rPr>
        <w:t xml:space="preserve">Interactive timelines, such as “Past to Present: Land as Legacy,” offer visitors opportunities to engage with the content beyond viewing static images. </w:t>
      </w:r>
      <w:r w:rsidR="00A74C15" w:rsidRPr="00A74C15">
        <w:rPr>
          <w:color w:val="0E101A"/>
        </w:rPr>
        <w:t>Visitors can navigate a timeline from 1799 to 1900 to learn more about the Syphax family and African Americans in their quest to retain land they had inherited in the United States. Another interactive element is a digitized image of a 1925 Hope School desk, which visitors can view from all angles.</w:t>
      </w:r>
    </w:p>
    <w:p w14:paraId="08CE8E07" w14:textId="67B1EE53" w:rsidR="00325AE0" w:rsidRDefault="002966C5" w:rsidP="002966C5">
      <w:pPr>
        <w:pStyle w:val="NormalWeb"/>
        <w:spacing w:before="0" w:beforeAutospacing="0" w:after="0" w:afterAutospacing="0"/>
        <w:rPr>
          <w:color w:val="0E101A"/>
        </w:rPr>
      </w:pPr>
      <w:r w:rsidRPr="002966C5">
        <w:rPr>
          <w:color w:val="0E101A"/>
        </w:rPr>
        <w:lastRenderedPageBreak/>
        <w:t>Visitors of this site should come away with an appreciation for the breadth and richness of HBCU archival collections, as well as an understanding of the unique history and experiences of these institutions, their leaders, students, faculty, and communities. Users should also grasp the patterns of inequality experienced by African Americans in many aspects of life, and yet, despite these challenges, they were resilient to survive and thrive.</w:t>
      </w:r>
    </w:p>
    <w:p w14:paraId="1BD35629" w14:textId="77777777" w:rsidR="002966C5" w:rsidRDefault="002966C5" w:rsidP="002966C5">
      <w:pPr>
        <w:pStyle w:val="NormalWeb"/>
        <w:spacing w:before="0" w:beforeAutospacing="0" w:after="0" w:afterAutospacing="0"/>
        <w:rPr>
          <w:color w:val="0E101A"/>
        </w:rPr>
      </w:pPr>
    </w:p>
    <w:p w14:paraId="42F30C0A" w14:textId="77777777" w:rsidR="00325AE0" w:rsidRDefault="00325AE0" w:rsidP="00325AE0">
      <w:pPr>
        <w:pStyle w:val="NormalWeb"/>
        <w:spacing w:before="0" w:beforeAutospacing="0" w:after="0" w:afterAutospacing="0"/>
        <w:rPr>
          <w:color w:val="0E101A"/>
        </w:rPr>
      </w:pPr>
      <w:r>
        <w:rPr>
          <w:color w:val="0E101A"/>
        </w:rPr>
        <w:t xml:space="preserve">It was challenging to identify ways to interact with the site’s creators beyond clicking the “HBCU History and Cultural Access Consortium” and “Strategic Partnerships” links, which led to Facebook, X (formerly Twitter), and email. The Story Map on the site provides the contact information for </w:t>
      </w:r>
      <w:proofErr w:type="spellStart"/>
      <w:r>
        <w:rPr>
          <w:color w:val="0E101A"/>
        </w:rPr>
        <w:t>Auntaneshia</w:t>
      </w:r>
      <w:proofErr w:type="spellEnd"/>
      <w:r>
        <w:rPr>
          <w:color w:val="0E101A"/>
        </w:rPr>
        <w:t xml:space="preserve"> </w:t>
      </w:r>
      <w:proofErr w:type="spellStart"/>
      <w:r>
        <w:rPr>
          <w:color w:val="0E101A"/>
        </w:rPr>
        <w:t>Staveloz</w:t>
      </w:r>
      <w:proofErr w:type="spellEnd"/>
      <w:r>
        <w:rPr>
          <w:color w:val="0E101A"/>
        </w:rPr>
        <w:t>, the Project Director of the Office of Strategic Partnerships.</w:t>
      </w:r>
    </w:p>
    <w:p w14:paraId="5724F1BE" w14:textId="77777777" w:rsidR="00325AE0" w:rsidRDefault="00325AE0" w:rsidP="00325AE0">
      <w:pPr>
        <w:pStyle w:val="NormalWeb"/>
        <w:spacing w:before="0" w:beforeAutospacing="0" w:after="0" w:afterAutospacing="0"/>
        <w:rPr>
          <w:color w:val="0E101A"/>
        </w:rPr>
      </w:pPr>
    </w:p>
    <w:p w14:paraId="4CB98885" w14:textId="656C12FE" w:rsidR="00693C40" w:rsidRPr="00ED184D" w:rsidRDefault="00325AE0" w:rsidP="00ED184D">
      <w:pPr>
        <w:pStyle w:val="NormalWeb"/>
        <w:spacing w:before="0" w:beforeAutospacing="0" w:after="0" w:afterAutospacing="0"/>
        <w:rPr>
          <w:color w:val="0E101A"/>
        </w:rPr>
      </w:pPr>
      <w:r>
        <w:rPr>
          <w:color w:val="0E101A"/>
        </w:rPr>
        <w:t xml:space="preserve">I spent several hours exploring the site and found that time was insufficient to cover </w:t>
      </w:r>
      <w:proofErr w:type="gramStart"/>
      <w:r>
        <w:rPr>
          <w:color w:val="0E101A"/>
        </w:rPr>
        <w:t>all of</w:t>
      </w:r>
      <w:proofErr w:type="gramEnd"/>
      <w:r>
        <w:rPr>
          <w:color w:val="0E101A"/>
        </w:rPr>
        <w:t xml:space="preserve"> the available content. I appreciate being able to explore the digital exhibit while seated comfortably at home, where I can take breaks and easily return, options that are not possible at a physical exhibit.</w:t>
      </w:r>
      <w:r w:rsidR="002966C5">
        <w:rPr>
          <w:color w:val="0E101A"/>
        </w:rPr>
        <w:t xml:space="preserve"> </w:t>
      </w:r>
      <w:r>
        <w:rPr>
          <w:color w:val="0E101A"/>
        </w:rPr>
        <w:t>One suggestion is to ensure all links are functional. For example, the link for “several editions of the Negro Yearbook” and the link for “digitized volumes of Florida A&amp;M’s</w:t>
      </w:r>
      <w:r>
        <w:rPr>
          <w:rStyle w:val="apple-converted-space"/>
          <w:rFonts w:eastAsiaTheme="majorEastAsia"/>
          <w:color w:val="0E101A"/>
        </w:rPr>
        <w:t> </w:t>
      </w:r>
      <w:r>
        <w:rPr>
          <w:rStyle w:val="Emphasis"/>
          <w:rFonts w:eastAsiaTheme="majorEastAsia"/>
          <w:color w:val="0E101A"/>
        </w:rPr>
        <w:t>The Quarterly Journal</w:t>
      </w:r>
      <w:r>
        <w:rPr>
          <w:rStyle w:val="apple-converted-space"/>
          <w:rFonts w:eastAsiaTheme="majorEastAsia"/>
          <w:i/>
          <w:iCs/>
          <w:color w:val="0E101A"/>
        </w:rPr>
        <w:t> </w:t>
      </w:r>
      <w:r>
        <w:rPr>
          <w:color w:val="0E101A"/>
        </w:rPr>
        <w:t>from the 1930s are both broken.</w:t>
      </w:r>
      <w:r>
        <w:rPr>
          <w:rStyle w:val="apple-converted-space"/>
          <w:rFonts w:eastAsiaTheme="majorEastAsia"/>
          <w:color w:val="0E101A"/>
        </w:rPr>
        <w:t> </w:t>
      </w:r>
      <w:r>
        <w:rPr>
          <w:color w:val="0E101A"/>
        </w:rPr>
        <w:t>Additionally, I recommend making it easier for visitors to find the main landing page and information about the site’s creators and opportunities to interact with them.</w:t>
      </w:r>
    </w:p>
    <w:sectPr w:rsidR="00693C40" w:rsidRPr="00ED184D" w:rsidSect="00A77558">
      <w:pgSz w:w="12240" w:h="15840"/>
      <w:pgMar w:top="1440" w:right="1440" w:bottom="139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96337"/>
    <w:multiLevelType w:val="hybridMultilevel"/>
    <w:tmpl w:val="1FFC8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AF1B3E"/>
    <w:multiLevelType w:val="hybridMultilevel"/>
    <w:tmpl w:val="9E1AB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515600"/>
    <w:multiLevelType w:val="hybridMultilevel"/>
    <w:tmpl w:val="067AB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735CAE"/>
    <w:multiLevelType w:val="hybridMultilevel"/>
    <w:tmpl w:val="869C9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599186">
    <w:abstractNumId w:val="0"/>
  </w:num>
  <w:num w:numId="2" w16cid:durableId="1134443024">
    <w:abstractNumId w:val="1"/>
  </w:num>
  <w:num w:numId="3" w16cid:durableId="1601527736">
    <w:abstractNumId w:val="3"/>
  </w:num>
  <w:num w:numId="4" w16cid:durableId="2907457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997"/>
    <w:rsid w:val="00017424"/>
    <w:rsid w:val="00030896"/>
    <w:rsid w:val="0004110A"/>
    <w:rsid w:val="00050543"/>
    <w:rsid w:val="0005598A"/>
    <w:rsid w:val="000560DE"/>
    <w:rsid w:val="000562B7"/>
    <w:rsid w:val="000617B1"/>
    <w:rsid w:val="000734A8"/>
    <w:rsid w:val="00083232"/>
    <w:rsid w:val="00086958"/>
    <w:rsid w:val="00096DAF"/>
    <w:rsid w:val="00110DA2"/>
    <w:rsid w:val="00110EC6"/>
    <w:rsid w:val="00140A90"/>
    <w:rsid w:val="0016082B"/>
    <w:rsid w:val="0017647A"/>
    <w:rsid w:val="00190FA0"/>
    <w:rsid w:val="00197B3F"/>
    <w:rsid w:val="001B1F78"/>
    <w:rsid w:val="001F16D0"/>
    <w:rsid w:val="002053ED"/>
    <w:rsid w:val="002528ED"/>
    <w:rsid w:val="00281560"/>
    <w:rsid w:val="002922B6"/>
    <w:rsid w:val="002938F1"/>
    <w:rsid w:val="00295C0E"/>
    <w:rsid w:val="002966C5"/>
    <w:rsid w:val="002B3DF7"/>
    <w:rsid w:val="002B47EC"/>
    <w:rsid w:val="002E4F71"/>
    <w:rsid w:val="00325AE0"/>
    <w:rsid w:val="00333DBC"/>
    <w:rsid w:val="00365BFD"/>
    <w:rsid w:val="00375937"/>
    <w:rsid w:val="003D1AFB"/>
    <w:rsid w:val="004015CB"/>
    <w:rsid w:val="004E1379"/>
    <w:rsid w:val="00530F3B"/>
    <w:rsid w:val="005406CA"/>
    <w:rsid w:val="00541036"/>
    <w:rsid w:val="005473F6"/>
    <w:rsid w:val="0055161F"/>
    <w:rsid w:val="00575DDB"/>
    <w:rsid w:val="00604790"/>
    <w:rsid w:val="006149C4"/>
    <w:rsid w:val="00620F46"/>
    <w:rsid w:val="00622997"/>
    <w:rsid w:val="0062680C"/>
    <w:rsid w:val="00637806"/>
    <w:rsid w:val="00660A54"/>
    <w:rsid w:val="00662BF0"/>
    <w:rsid w:val="00693C40"/>
    <w:rsid w:val="006A0F51"/>
    <w:rsid w:val="006B1806"/>
    <w:rsid w:val="00726FEE"/>
    <w:rsid w:val="00795DDE"/>
    <w:rsid w:val="00795F90"/>
    <w:rsid w:val="00797746"/>
    <w:rsid w:val="007C4C36"/>
    <w:rsid w:val="007E26DC"/>
    <w:rsid w:val="00802A05"/>
    <w:rsid w:val="0082704B"/>
    <w:rsid w:val="008360B0"/>
    <w:rsid w:val="00860F1F"/>
    <w:rsid w:val="00875D42"/>
    <w:rsid w:val="008F33D6"/>
    <w:rsid w:val="009018FC"/>
    <w:rsid w:val="0090529D"/>
    <w:rsid w:val="00915D01"/>
    <w:rsid w:val="00935B11"/>
    <w:rsid w:val="00952848"/>
    <w:rsid w:val="00964C87"/>
    <w:rsid w:val="00976ACB"/>
    <w:rsid w:val="0098115F"/>
    <w:rsid w:val="00984675"/>
    <w:rsid w:val="009B10D5"/>
    <w:rsid w:val="009B5973"/>
    <w:rsid w:val="009C4742"/>
    <w:rsid w:val="009D7438"/>
    <w:rsid w:val="009D7C34"/>
    <w:rsid w:val="009F7966"/>
    <w:rsid w:val="00A25D29"/>
    <w:rsid w:val="00A37893"/>
    <w:rsid w:val="00A51506"/>
    <w:rsid w:val="00A571D1"/>
    <w:rsid w:val="00A63DF3"/>
    <w:rsid w:val="00A74C15"/>
    <w:rsid w:val="00A77558"/>
    <w:rsid w:val="00AA7A15"/>
    <w:rsid w:val="00AD24C1"/>
    <w:rsid w:val="00AD334D"/>
    <w:rsid w:val="00AE0DDE"/>
    <w:rsid w:val="00B14B23"/>
    <w:rsid w:val="00B15BC4"/>
    <w:rsid w:val="00B16698"/>
    <w:rsid w:val="00B21845"/>
    <w:rsid w:val="00B421CE"/>
    <w:rsid w:val="00B4267A"/>
    <w:rsid w:val="00B63397"/>
    <w:rsid w:val="00B643BE"/>
    <w:rsid w:val="00B75D8C"/>
    <w:rsid w:val="00B864F1"/>
    <w:rsid w:val="00B96B0E"/>
    <w:rsid w:val="00BA226A"/>
    <w:rsid w:val="00BA2AEA"/>
    <w:rsid w:val="00BA3C6A"/>
    <w:rsid w:val="00BD63B8"/>
    <w:rsid w:val="00BE3E99"/>
    <w:rsid w:val="00C10F82"/>
    <w:rsid w:val="00C40F1E"/>
    <w:rsid w:val="00C50E46"/>
    <w:rsid w:val="00C65F39"/>
    <w:rsid w:val="00C90BC3"/>
    <w:rsid w:val="00CB3B77"/>
    <w:rsid w:val="00CB3F5C"/>
    <w:rsid w:val="00CD3475"/>
    <w:rsid w:val="00CE2A3C"/>
    <w:rsid w:val="00CF5143"/>
    <w:rsid w:val="00D01764"/>
    <w:rsid w:val="00D02743"/>
    <w:rsid w:val="00D07663"/>
    <w:rsid w:val="00D237A0"/>
    <w:rsid w:val="00D56664"/>
    <w:rsid w:val="00D56A0F"/>
    <w:rsid w:val="00D634D2"/>
    <w:rsid w:val="00D81749"/>
    <w:rsid w:val="00DC4158"/>
    <w:rsid w:val="00DC63C5"/>
    <w:rsid w:val="00DD5F42"/>
    <w:rsid w:val="00DD6E8B"/>
    <w:rsid w:val="00DE355C"/>
    <w:rsid w:val="00DE60B6"/>
    <w:rsid w:val="00DF3867"/>
    <w:rsid w:val="00DF51C8"/>
    <w:rsid w:val="00E22F47"/>
    <w:rsid w:val="00E41F9F"/>
    <w:rsid w:val="00E7466F"/>
    <w:rsid w:val="00E827EB"/>
    <w:rsid w:val="00EA15A3"/>
    <w:rsid w:val="00EB5A3B"/>
    <w:rsid w:val="00ED184D"/>
    <w:rsid w:val="00ED3059"/>
    <w:rsid w:val="00F44025"/>
    <w:rsid w:val="00F65C8E"/>
    <w:rsid w:val="00F72F34"/>
    <w:rsid w:val="00FA3EDB"/>
    <w:rsid w:val="00FB06E2"/>
    <w:rsid w:val="00FB76F7"/>
    <w:rsid w:val="00FD1EF8"/>
    <w:rsid w:val="00FD3F7B"/>
    <w:rsid w:val="00FE1225"/>
    <w:rsid w:val="00FF5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BA55B"/>
  <w15:chartTrackingRefBased/>
  <w15:docId w15:val="{FB9DA1F7-33A9-6B40-A9BA-5D430B224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29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29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29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29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29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29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29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29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29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9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29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29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29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29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29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29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29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2997"/>
    <w:rPr>
      <w:rFonts w:eastAsiaTheme="majorEastAsia" w:cstheme="majorBidi"/>
      <w:color w:val="272727" w:themeColor="text1" w:themeTint="D8"/>
    </w:rPr>
  </w:style>
  <w:style w:type="paragraph" w:styleId="Title">
    <w:name w:val="Title"/>
    <w:basedOn w:val="Normal"/>
    <w:next w:val="Normal"/>
    <w:link w:val="TitleChar"/>
    <w:uiPriority w:val="10"/>
    <w:qFormat/>
    <w:rsid w:val="006229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29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29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29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2997"/>
    <w:pPr>
      <w:spacing w:before="160"/>
      <w:jc w:val="center"/>
    </w:pPr>
    <w:rPr>
      <w:i/>
      <w:iCs/>
      <w:color w:val="404040" w:themeColor="text1" w:themeTint="BF"/>
    </w:rPr>
  </w:style>
  <w:style w:type="character" w:customStyle="1" w:styleId="QuoteChar">
    <w:name w:val="Quote Char"/>
    <w:basedOn w:val="DefaultParagraphFont"/>
    <w:link w:val="Quote"/>
    <w:uiPriority w:val="29"/>
    <w:rsid w:val="00622997"/>
    <w:rPr>
      <w:i/>
      <w:iCs/>
      <w:color w:val="404040" w:themeColor="text1" w:themeTint="BF"/>
    </w:rPr>
  </w:style>
  <w:style w:type="paragraph" w:styleId="ListParagraph">
    <w:name w:val="List Paragraph"/>
    <w:basedOn w:val="Normal"/>
    <w:uiPriority w:val="34"/>
    <w:qFormat/>
    <w:rsid w:val="00622997"/>
    <w:pPr>
      <w:ind w:left="720"/>
      <w:contextualSpacing/>
    </w:pPr>
  </w:style>
  <w:style w:type="character" w:styleId="IntenseEmphasis">
    <w:name w:val="Intense Emphasis"/>
    <w:basedOn w:val="DefaultParagraphFont"/>
    <w:uiPriority w:val="21"/>
    <w:qFormat/>
    <w:rsid w:val="00622997"/>
    <w:rPr>
      <w:i/>
      <w:iCs/>
      <w:color w:val="0F4761" w:themeColor="accent1" w:themeShade="BF"/>
    </w:rPr>
  </w:style>
  <w:style w:type="paragraph" w:styleId="IntenseQuote">
    <w:name w:val="Intense Quote"/>
    <w:basedOn w:val="Normal"/>
    <w:next w:val="Normal"/>
    <w:link w:val="IntenseQuoteChar"/>
    <w:uiPriority w:val="30"/>
    <w:qFormat/>
    <w:rsid w:val="006229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2997"/>
    <w:rPr>
      <w:i/>
      <w:iCs/>
      <w:color w:val="0F4761" w:themeColor="accent1" w:themeShade="BF"/>
    </w:rPr>
  </w:style>
  <w:style w:type="character" w:styleId="IntenseReference">
    <w:name w:val="Intense Reference"/>
    <w:basedOn w:val="DefaultParagraphFont"/>
    <w:uiPriority w:val="32"/>
    <w:qFormat/>
    <w:rsid w:val="00622997"/>
    <w:rPr>
      <w:b/>
      <w:bCs/>
      <w:smallCaps/>
      <w:color w:val="0F4761" w:themeColor="accent1" w:themeShade="BF"/>
      <w:spacing w:val="5"/>
    </w:rPr>
  </w:style>
  <w:style w:type="character" w:styleId="Hyperlink">
    <w:name w:val="Hyperlink"/>
    <w:basedOn w:val="DefaultParagraphFont"/>
    <w:uiPriority w:val="99"/>
    <w:unhideWhenUsed/>
    <w:rsid w:val="00E7466F"/>
    <w:rPr>
      <w:color w:val="467886" w:themeColor="hyperlink"/>
      <w:u w:val="single"/>
    </w:rPr>
  </w:style>
  <w:style w:type="character" w:styleId="UnresolvedMention">
    <w:name w:val="Unresolved Mention"/>
    <w:basedOn w:val="DefaultParagraphFont"/>
    <w:uiPriority w:val="99"/>
    <w:semiHidden/>
    <w:unhideWhenUsed/>
    <w:rsid w:val="00E7466F"/>
    <w:rPr>
      <w:color w:val="605E5C"/>
      <w:shd w:val="clear" w:color="auto" w:fill="E1DFDD"/>
    </w:rPr>
  </w:style>
  <w:style w:type="character" w:styleId="FollowedHyperlink">
    <w:name w:val="FollowedHyperlink"/>
    <w:basedOn w:val="DefaultParagraphFont"/>
    <w:uiPriority w:val="99"/>
    <w:semiHidden/>
    <w:unhideWhenUsed/>
    <w:rsid w:val="00CD3475"/>
    <w:rPr>
      <w:color w:val="96607D" w:themeColor="followedHyperlink"/>
      <w:u w:val="single"/>
    </w:rPr>
  </w:style>
  <w:style w:type="paragraph" w:styleId="NormalWeb">
    <w:name w:val="Normal (Web)"/>
    <w:basedOn w:val="Normal"/>
    <w:uiPriority w:val="99"/>
    <w:unhideWhenUsed/>
    <w:rsid w:val="00D634D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634D2"/>
    <w:rPr>
      <w:b/>
      <w:bCs/>
    </w:rPr>
  </w:style>
  <w:style w:type="character" w:customStyle="1" w:styleId="apple-converted-space">
    <w:name w:val="apple-converted-space"/>
    <w:basedOn w:val="DefaultParagraphFont"/>
    <w:rsid w:val="00D634D2"/>
  </w:style>
  <w:style w:type="character" w:styleId="Emphasis">
    <w:name w:val="Emphasis"/>
    <w:basedOn w:val="DefaultParagraphFont"/>
    <w:uiPriority w:val="20"/>
    <w:qFormat/>
    <w:rsid w:val="00325AE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1303</Words>
  <Characters>10785</Characters>
  <Application>Microsoft Office Word</Application>
  <DocSecurity>0</DocSecurity>
  <Lines>283</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Gardner</dc:creator>
  <cp:keywords/>
  <dc:description/>
  <cp:lastModifiedBy>Tanya Gardner</cp:lastModifiedBy>
  <cp:revision>2</cp:revision>
  <cp:lastPrinted>2026-03-16T01:44:00Z</cp:lastPrinted>
  <dcterms:created xsi:type="dcterms:W3CDTF">2026-03-25T00:39:00Z</dcterms:created>
  <dcterms:modified xsi:type="dcterms:W3CDTF">2026-03-25T00:39:00Z</dcterms:modified>
</cp:coreProperties>
</file>